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2142D1" w:rsidRDefault="002142D1">
      <w:pPr>
        <w:rPr>
          <w:color w:val="333333"/>
          <w:sz w:val="21"/>
          <w:szCs w:val="21"/>
          <w:highlight w:val="white"/>
        </w:rPr>
      </w:pPr>
    </w:p>
    <w:p w14:paraId="00000002" w14:textId="77777777" w:rsidR="002142D1" w:rsidRDefault="002142D1">
      <w:pPr>
        <w:rPr>
          <w:color w:val="333333"/>
          <w:sz w:val="21"/>
          <w:szCs w:val="21"/>
          <w:highlight w:val="white"/>
        </w:rPr>
      </w:pPr>
    </w:p>
    <w:p w14:paraId="00000003" w14:textId="77777777" w:rsidR="002142D1" w:rsidRDefault="00000000">
      <w:pPr>
        <w:pStyle w:val="Ttulo2"/>
        <w:keepNext w:val="0"/>
        <w:keepLines w:val="0"/>
        <w:spacing w:before="0" w:after="0" w:line="312" w:lineRule="auto"/>
        <w:rPr>
          <w:b/>
          <w:bCs/>
          <w:sz w:val="35"/>
          <w:szCs w:val="35"/>
          <w:highlight w:val="white"/>
        </w:rPr>
      </w:pPr>
      <w:bookmarkStart w:id="0" w:name="_m342y8i5ydl" w:colFirst="0" w:colLast="0"/>
      <w:bookmarkEnd w:id="0"/>
      <w:r>
        <w:rPr>
          <w:b/>
          <w:bCs/>
          <w:sz w:val="35"/>
          <w:szCs w:val="35"/>
          <w:highlight w:val="white"/>
        </w:rPr>
        <w:t>Normativa aplicable a la entidad:</w:t>
      </w:r>
    </w:p>
    <w:p w14:paraId="00000004" w14:textId="4E5241FB" w:rsidR="002142D1" w:rsidRDefault="00000000">
      <w:pPr>
        <w:numPr>
          <w:ilvl w:val="0"/>
          <w:numId w:val="1"/>
        </w:numPr>
        <w:spacing w:line="331" w:lineRule="auto"/>
        <w:ind w:left="1420"/>
      </w:pPr>
      <w:r>
        <w:rPr>
          <w:color w:val="22323D"/>
          <w:sz w:val="23"/>
          <w:szCs w:val="23"/>
          <w:highlight w:val="white"/>
        </w:rPr>
        <w:t>ESCRITURA DE CONSTITUCIÓN DE LA SOCIEDAD.</w:t>
      </w:r>
      <w:hyperlink r:id="rId5">
        <w:r>
          <w:rPr>
            <w:color w:val="22323D"/>
            <w:sz w:val="23"/>
            <w:szCs w:val="23"/>
            <w:highlight w:val="white"/>
          </w:rPr>
          <w:t xml:space="preserve"> </w:t>
        </w:r>
      </w:hyperlink>
      <w:hyperlink r:id="rId6">
        <w:r>
          <w:rPr>
            <w:color w:val="007991"/>
            <w:sz w:val="23"/>
            <w:szCs w:val="23"/>
            <w:highlight w:val="white"/>
          </w:rPr>
          <w:t>Enlace Escritura.</w:t>
        </w:r>
      </w:hyperlink>
    </w:p>
    <w:p w14:paraId="00000005" w14:textId="77777777" w:rsidR="002142D1" w:rsidRDefault="00000000">
      <w:pPr>
        <w:numPr>
          <w:ilvl w:val="0"/>
          <w:numId w:val="1"/>
        </w:numPr>
        <w:spacing w:line="331" w:lineRule="auto"/>
        <w:ind w:left="1420"/>
      </w:pPr>
      <w:r>
        <w:rPr>
          <w:color w:val="22323D"/>
          <w:sz w:val="23"/>
          <w:szCs w:val="23"/>
          <w:highlight w:val="white"/>
        </w:rPr>
        <w:t>RDL 1/2010, de 2 Julio, del texto refundido de la Ley de Sociedades de Capital, que deroga la anterior Ley 2/1995, de 23 de Marzo, de Sociedades de Responsabilidad Limitada, parte del Código de Comercio y la Ley de las Sociedades Anónimas (RD Legislativo 1564/1989, de 22 de Diciembre).</w:t>
      </w:r>
      <w:hyperlink r:id="rId7">
        <w:r>
          <w:rPr>
            <w:color w:val="22323D"/>
            <w:sz w:val="23"/>
            <w:szCs w:val="23"/>
            <w:highlight w:val="white"/>
          </w:rPr>
          <w:t xml:space="preserve"> </w:t>
        </w:r>
      </w:hyperlink>
      <w:hyperlink r:id="rId8">
        <w:r>
          <w:rPr>
            <w:color w:val="007991"/>
            <w:sz w:val="23"/>
            <w:szCs w:val="23"/>
            <w:highlight w:val="white"/>
          </w:rPr>
          <w:t>Enlace normativa.</w:t>
        </w:r>
      </w:hyperlink>
    </w:p>
    <w:p w14:paraId="00000006" w14:textId="77777777" w:rsidR="002142D1" w:rsidRDefault="00000000">
      <w:pPr>
        <w:numPr>
          <w:ilvl w:val="0"/>
          <w:numId w:val="1"/>
        </w:numPr>
        <w:spacing w:line="331" w:lineRule="auto"/>
        <w:ind w:left="1420"/>
      </w:pPr>
      <w:r>
        <w:rPr>
          <w:color w:val="22323D"/>
          <w:sz w:val="23"/>
          <w:szCs w:val="23"/>
          <w:highlight w:val="white"/>
        </w:rPr>
        <w:t>Reglamento General de Protección de Datos (REGLAMENTO (UE) 2016/679 del Parlamento Europeo y del Consejo de 27 de abril de 2016 relativo a la protección de las personas físicas en lo que respecta al tratamiento de datos personales y a la libre circulación de estos datos y por el que se deroga la Directiva 95/46/CE).</w:t>
      </w:r>
      <w:hyperlink r:id="rId9">
        <w:r>
          <w:rPr>
            <w:color w:val="22323D"/>
            <w:sz w:val="23"/>
            <w:szCs w:val="23"/>
            <w:highlight w:val="white"/>
          </w:rPr>
          <w:t xml:space="preserve"> </w:t>
        </w:r>
      </w:hyperlink>
      <w:hyperlink r:id="rId10">
        <w:r>
          <w:rPr>
            <w:color w:val="007991"/>
            <w:sz w:val="23"/>
            <w:szCs w:val="23"/>
            <w:highlight w:val="white"/>
          </w:rPr>
          <w:t>Enlace normativa.</w:t>
        </w:r>
      </w:hyperlink>
    </w:p>
    <w:p w14:paraId="00000007" w14:textId="77777777" w:rsidR="002142D1" w:rsidRDefault="00000000">
      <w:pPr>
        <w:numPr>
          <w:ilvl w:val="0"/>
          <w:numId w:val="1"/>
        </w:numPr>
        <w:spacing w:line="331" w:lineRule="auto"/>
        <w:ind w:left="1420"/>
      </w:pPr>
      <w:r>
        <w:rPr>
          <w:color w:val="22323D"/>
          <w:sz w:val="23"/>
          <w:szCs w:val="23"/>
          <w:highlight w:val="white"/>
        </w:rPr>
        <w:t>Ley 38-2003, de 17 de noviembre, General de Subvenciones.</w:t>
      </w:r>
      <w:hyperlink r:id="rId11">
        <w:r>
          <w:rPr>
            <w:color w:val="22323D"/>
            <w:sz w:val="23"/>
            <w:szCs w:val="23"/>
            <w:highlight w:val="white"/>
          </w:rPr>
          <w:t xml:space="preserve"> </w:t>
        </w:r>
      </w:hyperlink>
      <w:hyperlink r:id="rId12">
        <w:r>
          <w:rPr>
            <w:color w:val="007991"/>
            <w:sz w:val="23"/>
            <w:szCs w:val="23"/>
            <w:highlight w:val="white"/>
          </w:rPr>
          <w:t>Enlace normativa.</w:t>
        </w:r>
      </w:hyperlink>
    </w:p>
    <w:p w14:paraId="00000008" w14:textId="77777777" w:rsidR="002142D1" w:rsidRDefault="00000000">
      <w:pPr>
        <w:numPr>
          <w:ilvl w:val="0"/>
          <w:numId w:val="1"/>
        </w:numPr>
        <w:spacing w:line="331" w:lineRule="auto"/>
        <w:ind w:left="1420"/>
      </w:pPr>
      <w:r>
        <w:rPr>
          <w:color w:val="22323D"/>
          <w:sz w:val="23"/>
          <w:szCs w:val="23"/>
          <w:highlight w:val="white"/>
        </w:rPr>
        <w:t>Orden 368-2019, de 28 de marzo, por la que se desarrolla el RD 694-2017, de 3 de Julio.</w:t>
      </w:r>
      <w:hyperlink r:id="rId13">
        <w:r>
          <w:rPr>
            <w:color w:val="22323D"/>
            <w:sz w:val="23"/>
            <w:szCs w:val="23"/>
            <w:highlight w:val="white"/>
          </w:rPr>
          <w:t xml:space="preserve"> </w:t>
        </w:r>
      </w:hyperlink>
      <w:hyperlink r:id="rId14">
        <w:r>
          <w:rPr>
            <w:color w:val="007991"/>
            <w:sz w:val="23"/>
            <w:szCs w:val="23"/>
            <w:highlight w:val="white"/>
          </w:rPr>
          <w:t>Enlace normativa.</w:t>
        </w:r>
      </w:hyperlink>
    </w:p>
    <w:p w14:paraId="00000009" w14:textId="77777777" w:rsidR="002142D1" w:rsidRDefault="00000000">
      <w:pPr>
        <w:numPr>
          <w:ilvl w:val="0"/>
          <w:numId w:val="1"/>
        </w:numPr>
        <w:spacing w:line="331" w:lineRule="auto"/>
        <w:ind w:left="1420"/>
      </w:pPr>
      <w:r>
        <w:rPr>
          <w:color w:val="22323D"/>
          <w:sz w:val="23"/>
          <w:szCs w:val="23"/>
          <w:highlight w:val="white"/>
        </w:rPr>
        <w:t>Ley 12/2014, de 26 de diciembre, de transparencia y de acceso a la información pública.</w:t>
      </w:r>
      <w:hyperlink r:id="rId15">
        <w:r>
          <w:rPr>
            <w:color w:val="22323D"/>
            <w:sz w:val="23"/>
            <w:szCs w:val="23"/>
            <w:highlight w:val="white"/>
          </w:rPr>
          <w:t xml:space="preserve"> </w:t>
        </w:r>
      </w:hyperlink>
      <w:hyperlink r:id="rId16">
        <w:r>
          <w:rPr>
            <w:color w:val="007991"/>
            <w:sz w:val="23"/>
            <w:szCs w:val="23"/>
            <w:highlight w:val="white"/>
          </w:rPr>
          <w:t>Enlace normativa.</w:t>
        </w:r>
      </w:hyperlink>
    </w:p>
    <w:p w14:paraId="0000000A" w14:textId="77777777" w:rsidR="002142D1" w:rsidRDefault="00000000">
      <w:pPr>
        <w:numPr>
          <w:ilvl w:val="0"/>
          <w:numId w:val="1"/>
        </w:numPr>
        <w:spacing w:after="340" w:line="331" w:lineRule="auto"/>
        <w:ind w:left="1420"/>
      </w:pPr>
      <w:r>
        <w:rPr>
          <w:color w:val="22323D"/>
          <w:sz w:val="23"/>
          <w:szCs w:val="23"/>
          <w:highlight w:val="white"/>
        </w:rPr>
        <w:t>Ley 19/2013, de 09 de diciembre, de transparencia, acceso a la información pública y buen Gobierno. (Normativa Estatal).</w:t>
      </w:r>
      <w:hyperlink r:id="rId17">
        <w:r>
          <w:rPr>
            <w:color w:val="22323D"/>
            <w:sz w:val="23"/>
            <w:szCs w:val="23"/>
            <w:highlight w:val="white"/>
          </w:rPr>
          <w:t xml:space="preserve"> </w:t>
        </w:r>
      </w:hyperlink>
      <w:hyperlink r:id="rId18">
        <w:r>
          <w:rPr>
            <w:color w:val="007991"/>
            <w:sz w:val="23"/>
            <w:szCs w:val="23"/>
            <w:highlight w:val="white"/>
          </w:rPr>
          <w:t>Enlace normativa.</w:t>
        </w:r>
      </w:hyperlink>
    </w:p>
    <w:p w14:paraId="0000000B" w14:textId="77777777" w:rsidR="002142D1" w:rsidRDefault="002142D1">
      <w:pPr>
        <w:rPr>
          <w:color w:val="333333"/>
          <w:sz w:val="21"/>
          <w:szCs w:val="21"/>
          <w:highlight w:val="white"/>
        </w:rPr>
      </w:pPr>
    </w:p>
    <w:p w14:paraId="0000000C" w14:textId="77777777" w:rsidR="002142D1" w:rsidRDefault="002142D1">
      <w:pPr>
        <w:rPr>
          <w:color w:val="333333"/>
          <w:sz w:val="21"/>
          <w:szCs w:val="21"/>
          <w:highlight w:val="white"/>
        </w:rPr>
      </w:pPr>
    </w:p>
    <w:p w14:paraId="0000000D" w14:textId="77777777" w:rsidR="002142D1" w:rsidRDefault="00000000">
      <w:pPr>
        <w:shd w:val="clear" w:color="auto" w:fill="FFFFFF"/>
        <w:rPr>
          <w:color w:val="22323D"/>
          <w:sz w:val="17"/>
          <w:szCs w:val="17"/>
          <w:highlight w:val="white"/>
        </w:rPr>
      </w:pPr>
      <w:r>
        <w:rPr>
          <w:color w:val="22323D"/>
          <w:sz w:val="17"/>
          <w:szCs w:val="17"/>
          <w:highlight w:val="white"/>
        </w:rPr>
        <w:t>Responsable: Juan Pablo Cabrera Borges S.L</w:t>
      </w:r>
    </w:p>
    <w:p w14:paraId="0000000E" w14:textId="77777777" w:rsidR="002142D1" w:rsidRDefault="00000000">
      <w:pPr>
        <w:shd w:val="clear" w:color="auto" w:fill="FFFFFF"/>
        <w:rPr>
          <w:color w:val="22323D"/>
          <w:sz w:val="17"/>
          <w:szCs w:val="17"/>
          <w:highlight w:val="white"/>
        </w:rPr>
      </w:pPr>
      <w:r>
        <w:rPr>
          <w:color w:val="22323D"/>
          <w:sz w:val="17"/>
          <w:szCs w:val="17"/>
          <w:highlight w:val="white"/>
        </w:rPr>
        <w:t>Fecha de actualización: 21/11/2025</w:t>
      </w:r>
    </w:p>
    <w:p w14:paraId="0000000F" w14:textId="77777777" w:rsidR="002142D1" w:rsidRDefault="00000000">
      <w:pPr>
        <w:shd w:val="clear" w:color="auto" w:fill="FFFFFF"/>
        <w:rPr>
          <w:color w:val="22323D"/>
          <w:sz w:val="17"/>
          <w:szCs w:val="17"/>
          <w:highlight w:val="white"/>
        </w:rPr>
      </w:pPr>
      <w:r>
        <w:rPr>
          <w:color w:val="22323D"/>
          <w:sz w:val="17"/>
          <w:szCs w:val="17"/>
          <w:highlight w:val="white"/>
        </w:rPr>
        <w:t>Fecha desde que existen los datos: 20/07/2020</w:t>
      </w:r>
    </w:p>
    <w:p w14:paraId="00000010" w14:textId="77777777" w:rsidR="002142D1" w:rsidRDefault="002142D1">
      <w:pPr>
        <w:rPr>
          <w:color w:val="333333"/>
          <w:sz w:val="21"/>
          <w:szCs w:val="21"/>
          <w:highlight w:val="white"/>
        </w:rPr>
      </w:pPr>
    </w:p>
    <w:sectPr w:rsidR="002142D1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F48F578-28EF-4FED-8DD5-F28CD33DEF3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0298D7EC-8E4A-438F-AFA0-11BCF69E4F2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15B23CC"/>
    <w:multiLevelType w:val="multilevel"/>
    <w:tmpl w:val="38DCC44C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22323D"/>
        <w:sz w:val="23"/>
        <w:szCs w:val="23"/>
        <w:highlight w:val="white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7992999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42D1"/>
    <w:rsid w:val="00057D00"/>
    <w:rsid w:val="002142D1"/>
    <w:rsid w:val="00594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DC75437-EB31-47F5-A4EC-B65688CA1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oe.es/eli/es/rdlg/2010/07/02/1/con" TargetMode="External"/><Relationship Id="rId13" Type="http://schemas.openxmlformats.org/officeDocument/2006/relationships/hyperlink" Target="https://drive.google.com/file/d/19Prrc8oDu1q0P0FHj-ZOmcGYRz4TnvMF/view?usp=sharing" TargetMode="External"/><Relationship Id="rId18" Type="http://schemas.openxmlformats.org/officeDocument/2006/relationships/hyperlink" Target="https://drive.google.com/file/d/1T5m9EWf0tlGslFEtZxSBq8ylUgt3mTwC/view?usp=sharing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boe.es/eli/es/rdlg/2010/07/02/1/con" TargetMode="External"/><Relationship Id="rId12" Type="http://schemas.openxmlformats.org/officeDocument/2006/relationships/hyperlink" Target="https://drive.google.com/file/d/1XfwWiSZnERY3qNRe2RIPJV_PakbjpAX1/view?usp=sharing" TargetMode="External"/><Relationship Id="rId17" Type="http://schemas.openxmlformats.org/officeDocument/2006/relationships/hyperlink" Target="https://drive.google.com/file/d/1T5m9EWf0tlGslFEtZxSBq8ylUgt3mTwC/view?usp=sharing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boe.es/buscar/doc.php?id=BOE-A-2015-1114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jpc-formacion.com/wp-content/uploads/2026/01/JPCB-SL-Portal-transparencia-Escritura-Constitucion.pdf" TargetMode="External"/><Relationship Id="rId11" Type="http://schemas.openxmlformats.org/officeDocument/2006/relationships/hyperlink" Target="https://drive.google.com/file/d/1XfwWiSZnERY3qNRe2RIPJV_PakbjpAX1/view?usp=sharing" TargetMode="External"/><Relationship Id="rId5" Type="http://schemas.openxmlformats.org/officeDocument/2006/relationships/hyperlink" Target="https://drive.google.com/file/d/1SGGLEhe-6dm-82fMfAfXYxUwk9e5sV52/view?usp=sharing" TargetMode="External"/><Relationship Id="rId15" Type="http://schemas.openxmlformats.org/officeDocument/2006/relationships/hyperlink" Target="https://www.boe.es/buscar/doc.php?id=BOE-A-2015-1114" TargetMode="External"/><Relationship Id="rId10" Type="http://schemas.openxmlformats.org/officeDocument/2006/relationships/hyperlink" Target="https://www.boe.es/doue/2016/119/L00001-00088.pdf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boe.es/doue/2016/119/L00001-00088.pdf" TargetMode="External"/><Relationship Id="rId14" Type="http://schemas.openxmlformats.org/officeDocument/2006/relationships/hyperlink" Target="https://drive.google.com/file/d/19Prrc8oDu1q0P0FHj-ZOmcGYRz4TnvMF/view?usp=sharing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390</Words>
  <Characters>2146</Characters>
  <Application>Microsoft Office Word</Application>
  <DocSecurity>0</DocSecurity>
  <Lines>17</Lines>
  <Paragraphs>5</Paragraphs>
  <ScaleCrop>false</ScaleCrop>
  <Company/>
  <LinksUpToDate>false</LinksUpToDate>
  <CharactersWithSpaces>2531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Yurena Corujo Martín</cp:lastModifiedBy>
  <cp:revision>2</cp:revision>
  <dcterms:created xsi:type="dcterms:W3CDTF">2026-01-14T11:59:00Z</dcterms:created>
  <dcterms:modified xsi:type="dcterms:W3CDTF">2026-01-14T12:06:00Z</dcterms:modified>
</cp:coreProperties>
</file>